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5A436" w14:textId="3A4BB43C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In 2016, due to the significant number of adverse effects with </w:t>
      </w:r>
      <w:r>
        <w:rPr>
          <w:rFonts w:ascii="Helvetica" w:hAnsi="Helvetica"/>
          <w:color w:val="000000"/>
          <w:sz w:val="18"/>
          <w:szCs w:val="18"/>
        </w:rPr>
        <w:t>ESSURE</w:t>
      </w:r>
      <w:r>
        <w:rPr>
          <w:rFonts w:ascii="Helvetica" w:hAnsi="Helvetica"/>
          <w:color w:val="000000"/>
          <w:sz w:val="18"/>
          <w:szCs w:val="18"/>
        </w:rPr>
        <w:t xml:space="preserve"> and based on the recommendations from the FDA Advisory Committee meeting, the FDA ordered Bayer to conduct an </w:t>
      </w:r>
      <w:r>
        <w:rPr>
          <w:rFonts w:ascii="Helvetica" w:hAnsi="Helvetica"/>
          <w:color w:val="000000"/>
          <w:sz w:val="18"/>
          <w:szCs w:val="18"/>
        </w:rPr>
        <w:t>ESSURE</w:t>
      </w:r>
      <w:r>
        <w:rPr>
          <w:rFonts w:ascii="Helvetica" w:hAnsi="Helvetica"/>
          <w:color w:val="000000"/>
          <w:sz w:val="18"/>
          <w:szCs w:val="18"/>
        </w:rPr>
        <w:t xml:space="preserve"> post-market study to evaluate its safety and efficacy as compared to laparoscopic tubal ligation. </w:t>
      </w:r>
    </w:p>
    <w:p w14:paraId="3ED95FC5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343BCC3B" w14:textId="219E26F4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This study is known as the </w:t>
      </w:r>
      <w:r>
        <w:rPr>
          <w:rFonts w:ascii="Helvetica" w:hAnsi="Helvetica"/>
          <w:color w:val="000000"/>
          <w:sz w:val="18"/>
          <w:szCs w:val="18"/>
        </w:rPr>
        <w:t>ESSURE</w:t>
      </w:r>
      <w:r>
        <w:rPr>
          <w:rFonts w:ascii="Helvetica" w:hAnsi="Helvetica"/>
          <w:color w:val="000000"/>
          <w:sz w:val="18"/>
          <w:szCs w:val="18"/>
        </w:rPr>
        <w:t xml:space="preserve"> 522 study. </w:t>
      </w:r>
    </w:p>
    <w:p w14:paraId="7516BEBC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04A02132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In July 2020, the FDA provided interim results from the post-market 522 study.</w:t>
      </w:r>
    </w:p>
    <w:p w14:paraId="0E26280D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68DB26A1" w14:textId="4F14C5E1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Interim results show that </w:t>
      </w:r>
      <w:r>
        <w:rPr>
          <w:rFonts w:ascii="Helvetica" w:hAnsi="Helvetica"/>
          <w:color w:val="000000"/>
          <w:sz w:val="18"/>
          <w:szCs w:val="18"/>
        </w:rPr>
        <w:t>ESSURE</w:t>
      </w:r>
      <w:r>
        <w:rPr>
          <w:rFonts w:ascii="Helvetica" w:hAnsi="Helvetica"/>
          <w:color w:val="000000"/>
          <w:sz w:val="18"/>
          <w:szCs w:val="18"/>
        </w:rPr>
        <w:t xml:space="preserve"> patients have significantly higher rates of chronic lower abdominal and/or pelvic pain and abnormal uterine bleeding as compared to women who have had laparoscopic tubal ligation. </w:t>
      </w:r>
    </w:p>
    <w:p w14:paraId="3A65D943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704CB2F5" w14:textId="4B2E26A1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Hypersensitivity and allergic reactions and autoimmune symptoms were almost twice as high in the </w:t>
      </w:r>
      <w:r>
        <w:rPr>
          <w:rFonts w:ascii="Helvetica" w:hAnsi="Helvetica"/>
          <w:color w:val="000000"/>
          <w:sz w:val="18"/>
          <w:szCs w:val="18"/>
        </w:rPr>
        <w:t>ESSURE</w:t>
      </w:r>
      <w:r>
        <w:rPr>
          <w:rFonts w:ascii="Helvetica" w:hAnsi="Helvetica"/>
          <w:color w:val="000000"/>
          <w:sz w:val="18"/>
          <w:szCs w:val="18"/>
        </w:rPr>
        <w:t xml:space="preserve"> group as compared to tubal ligation.</w:t>
      </w:r>
    </w:p>
    <w:p w14:paraId="497A561E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75469323" w14:textId="5A51FF90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The rate of additional gynecological surgical procedures, which included </w:t>
      </w:r>
      <w:r>
        <w:rPr>
          <w:rFonts w:ascii="Helvetica" w:hAnsi="Helvetica"/>
          <w:color w:val="000000"/>
          <w:sz w:val="18"/>
          <w:szCs w:val="18"/>
        </w:rPr>
        <w:t>ESSURE</w:t>
      </w:r>
      <w:r>
        <w:rPr>
          <w:rFonts w:ascii="Helvetica" w:hAnsi="Helvetica"/>
          <w:color w:val="000000"/>
          <w:sz w:val="18"/>
          <w:szCs w:val="18"/>
        </w:rPr>
        <w:t xml:space="preserve"> device removal was 6x higher for </w:t>
      </w:r>
      <w:r>
        <w:rPr>
          <w:rFonts w:ascii="Helvetica" w:hAnsi="Helvetica"/>
          <w:color w:val="000000"/>
          <w:sz w:val="18"/>
          <w:szCs w:val="18"/>
        </w:rPr>
        <w:t>ESSURE</w:t>
      </w:r>
      <w:r>
        <w:rPr>
          <w:rFonts w:ascii="Helvetica" w:hAnsi="Helvetica"/>
          <w:color w:val="000000"/>
          <w:sz w:val="18"/>
          <w:szCs w:val="18"/>
        </w:rPr>
        <w:t xml:space="preserve"> patients than with tubal ligation. </w:t>
      </w:r>
    </w:p>
    <w:p w14:paraId="2F87A88A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025995AC" w14:textId="48B7C964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The overall cumulative probability of removing </w:t>
      </w:r>
      <w:r>
        <w:rPr>
          <w:rFonts w:ascii="Helvetica" w:hAnsi="Helvetica"/>
          <w:color w:val="000000"/>
          <w:sz w:val="18"/>
          <w:szCs w:val="18"/>
        </w:rPr>
        <w:t>ESSURE</w:t>
      </w:r>
      <w:r>
        <w:rPr>
          <w:rFonts w:ascii="Helvetica" w:hAnsi="Helvetica"/>
          <w:color w:val="000000"/>
          <w:sz w:val="18"/>
          <w:szCs w:val="18"/>
        </w:rPr>
        <w:t xml:space="preserve"> for any reason was approximately 14%.</w:t>
      </w:r>
    </w:p>
    <w:p w14:paraId="41CF8B4D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521FDC12" w14:textId="53979E73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That means that 1 out of 7 women with </w:t>
      </w:r>
      <w:r>
        <w:rPr>
          <w:rFonts w:ascii="Helvetica" w:hAnsi="Helvetica"/>
          <w:color w:val="000000"/>
          <w:sz w:val="18"/>
          <w:szCs w:val="18"/>
        </w:rPr>
        <w:t>ESSURE</w:t>
      </w:r>
      <w:r>
        <w:rPr>
          <w:rFonts w:ascii="Helvetica" w:hAnsi="Helvetica"/>
          <w:color w:val="000000"/>
          <w:sz w:val="18"/>
          <w:szCs w:val="18"/>
        </w:rPr>
        <w:t xml:space="preserve"> may eventually need to have the device surgically removed. </w:t>
      </w:r>
    </w:p>
    <w:p w14:paraId="2B4A79E1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63327052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Now remember, this was supposed to be a device that was permanent and would never need to be removed. </w:t>
      </w:r>
    </w:p>
    <w:p w14:paraId="210BF3D9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6296A18C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So, what is the take home message from the 522 study?</w:t>
      </w:r>
    </w:p>
    <w:p w14:paraId="47C07045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3C9FDCEF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It is clear by the interim data that the benefits promoted by Bayer and the implanting surgeons as compared to laparoscopic tubal ligation are false. </w:t>
      </w:r>
    </w:p>
    <w:p w14:paraId="5BEB9CCE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78EB7ED2" w14:textId="285E9E5A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What is clear by the interim data is that the </w:t>
      </w:r>
      <w:r>
        <w:rPr>
          <w:rFonts w:ascii="Helvetica" w:hAnsi="Helvetica"/>
          <w:color w:val="000000"/>
          <w:sz w:val="18"/>
          <w:szCs w:val="18"/>
        </w:rPr>
        <w:t>ESSURE</w:t>
      </w:r>
      <w:r>
        <w:rPr>
          <w:rFonts w:ascii="Helvetica" w:hAnsi="Helvetica"/>
          <w:color w:val="000000"/>
          <w:sz w:val="18"/>
          <w:szCs w:val="18"/>
        </w:rPr>
        <w:t xml:space="preserve"> is far inferior compared to laparoscopic tubal ligation and the incidence of hypersensitivity or allergic reactions and autoimmune symptoms do exist with </w:t>
      </w:r>
      <w:r>
        <w:rPr>
          <w:rFonts w:ascii="Helvetica" w:hAnsi="Helvetica"/>
          <w:color w:val="000000"/>
          <w:sz w:val="18"/>
          <w:szCs w:val="18"/>
        </w:rPr>
        <w:t>ESSURE</w:t>
      </w:r>
      <w:r>
        <w:rPr>
          <w:rFonts w:ascii="Helvetica" w:hAnsi="Helvetica"/>
          <w:color w:val="000000"/>
          <w:sz w:val="18"/>
          <w:szCs w:val="18"/>
        </w:rPr>
        <w:t>. </w:t>
      </w:r>
    </w:p>
    <w:p w14:paraId="7D6D4562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640BAD9F" w14:textId="47D48E91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I can assure you that by the 2025 completion of the 522 study, it will be shown that </w:t>
      </w:r>
      <w:r>
        <w:rPr>
          <w:rFonts w:ascii="Helvetica" w:hAnsi="Helvetica"/>
          <w:color w:val="000000"/>
          <w:sz w:val="18"/>
          <w:szCs w:val="18"/>
        </w:rPr>
        <w:t>ESSURE</w:t>
      </w:r>
      <w:r>
        <w:rPr>
          <w:rFonts w:ascii="Helvetica" w:hAnsi="Helvetica"/>
          <w:color w:val="000000"/>
          <w:sz w:val="18"/>
          <w:szCs w:val="18"/>
        </w:rPr>
        <w:t xml:space="preserve"> is far inferior to tubal ligation; at times even dangerous and should never have been placed on the world market. </w:t>
      </w:r>
    </w:p>
    <w:p w14:paraId="2F1091B1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29B2007B" w14:textId="5E3C51CB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Less than 1 month after the interim data was made public, Bayer had agreed to settle the mass tort lawsuits with </w:t>
      </w:r>
      <w:r>
        <w:rPr>
          <w:rFonts w:ascii="Helvetica" w:hAnsi="Helvetica"/>
          <w:color w:val="000000"/>
          <w:sz w:val="18"/>
          <w:szCs w:val="18"/>
        </w:rPr>
        <w:t>ESSURE</w:t>
      </w:r>
      <w:r>
        <w:rPr>
          <w:rFonts w:ascii="Helvetica" w:hAnsi="Helvetica"/>
          <w:color w:val="000000"/>
          <w:sz w:val="18"/>
          <w:szCs w:val="18"/>
        </w:rPr>
        <w:t xml:space="preserve"> victims for $1.6 Billion dollars.</w:t>
      </w:r>
    </w:p>
    <w:p w14:paraId="2CC9259C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3BB48A9E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Was the timing of a settlement shortly after the 522 interim data was made public coincidental? I don't think so.</w:t>
      </w:r>
    </w:p>
    <w:p w14:paraId="1836AB0A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044C57BB" w14:textId="77777777" w:rsidR="003076FB" w:rsidRDefault="003076FB" w:rsidP="003076FB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In my next video, I will discuss the Bayer $1.6 Billion dollar offer in more detail. </w:t>
      </w:r>
    </w:p>
    <w:p w14:paraId="21311BB7" w14:textId="3D84DD8D" w:rsidR="00CD382A" w:rsidRPr="003076FB" w:rsidRDefault="00CD382A" w:rsidP="003076FB"/>
    <w:sectPr w:rsidR="00CD382A" w:rsidRPr="0030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35"/>
    <w:rsid w:val="00271D35"/>
    <w:rsid w:val="003076FB"/>
    <w:rsid w:val="00583E25"/>
    <w:rsid w:val="00651102"/>
    <w:rsid w:val="009F52A5"/>
    <w:rsid w:val="00CD382A"/>
    <w:rsid w:val="00C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A4D79"/>
  <w15:chartTrackingRefBased/>
  <w15:docId w15:val="{8EF612C6-AE28-A848-A42D-FD8D5B7B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D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2021-09-23T15:28:00Z</dcterms:created>
  <dcterms:modified xsi:type="dcterms:W3CDTF">2021-09-23T15:28:00Z</dcterms:modified>
</cp:coreProperties>
</file>